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F2F" w:rsidRPr="006C6F2F" w:rsidRDefault="006C6F2F" w:rsidP="006C6F2F">
      <w:pPr>
        <w:spacing w:after="168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6C6F2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  <w14:ligatures w14:val="none"/>
        </w:rPr>
        <w:t>Гарантийные сроки на услуги</w:t>
      </w:r>
    </w:p>
    <w:p w:rsidR="006C6F2F" w:rsidRPr="006C6F2F" w:rsidRDefault="006C6F2F" w:rsidP="006C6F2F">
      <w:pPr>
        <w:spacing w:after="312"/>
        <w:jc w:val="right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УТВЕРЖДАЮ</w:t>
      </w:r>
    </w:p>
    <w:p w:rsidR="006C6F2F" w:rsidRPr="006C6F2F" w:rsidRDefault="006C6F2F" w:rsidP="006C6F2F">
      <w:pPr>
        <w:spacing w:after="312"/>
        <w:jc w:val="right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Председатель Правления</w:t>
      </w:r>
    </w:p>
    <w:p w:rsidR="006C6F2F" w:rsidRPr="006C6F2F" w:rsidRDefault="006C6F2F" w:rsidP="006C6F2F">
      <w:pPr>
        <w:spacing w:after="312"/>
        <w:jc w:val="right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Стоматологической Ассоциации</w:t>
      </w:r>
    </w:p>
    <w:p w:rsidR="006C6F2F" w:rsidRPr="006C6F2F" w:rsidRDefault="006C6F2F" w:rsidP="006C6F2F">
      <w:pPr>
        <w:spacing w:after="312"/>
        <w:jc w:val="right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Республики Карелия</w:t>
      </w:r>
    </w:p>
    <w:p w:rsidR="006C6F2F" w:rsidRPr="006C6F2F" w:rsidRDefault="006C6F2F" w:rsidP="006C6F2F">
      <w:pPr>
        <w:spacing w:after="312"/>
        <w:jc w:val="right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________________ В.А. Ильин</w:t>
      </w:r>
    </w:p>
    <w:p w:rsidR="006C6F2F" w:rsidRPr="006C6F2F" w:rsidRDefault="006C6F2F" w:rsidP="006C6F2F">
      <w:pPr>
        <w:spacing w:after="312"/>
        <w:jc w:val="right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«7» февраля 2008 г.</w:t>
      </w:r>
    </w:p>
    <w:p w:rsidR="006C6F2F" w:rsidRPr="006C6F2F" w:rsidRDefault="006C6F2F" w:rsidP="006C6F2F">
      <w:pPr>
        <w:spacing w:after="312"/>
        <w:jc w:val="center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b/>
          <w:bCs/>
          <w:color w:val="626365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ПОЛОЖЕНИЕ</w:t>
      </w:r>
    </w:p>
    <w:p w:rsidR="006C6F2F" w:rsidRPr="006C6F2F" w:rsidRDefault="006C6F2F" w:rsidP="006C6F2F">
      <w:pPr>
        <w:spacing w:after="312"/>
        <w:jc w:val="center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 об установлении гарантийного срока и срока службы при оказании стоматологической помощи в стоматологических учреждениях на территории Республики Карелия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1. </w:t>
      </w:r>
      <w:r w:rsidRPr="006C6F2F">
        <w:rPr>
          <w:rFonts w:ascii="Arial" w:eastAsia="Times New Roman" w:hAnsi="Arial" w:cs="Arial"/>
          <w:b/>
          <w:bCs/>
          <w:color w:val="626365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Настоящее Положение создано в целях: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-  улучшения регулирования взаимоотношений, возникающих между ЛПУ и пациентом при оказании стоматологической помощи по обязательному и добровольному медицинскому страхованию, за счет средств предприятий, учреждений, организаций, личных средств пациента;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- оказания правовой помощи руководителям стоматологических учреждений.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2. Настоящее Положение разработано в соответствии с Гражданским кодексом РФ, Законом РФ «О защите прав потребителей» (в редакции Федерального Закона РФ № 2 — ФЗ от 09.01.96 г., Федерального Закона РФ от 17.12.99 г. № 212-Ф3 «О внесении изменений и дополнений в Закон РФ «О защите прав потребителей»), Правилами предоставления платных медицинских услуг населению медицинскими учреждениями (утв. Постановлением Правительства РФ от 13.01.96 г. №27).    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>3. Необходимость разработки настоящего Положения обусловлена развитием законодательства о защите прав потребителей, предъявляющем новые требования к процессу оказания услуг в целом и стоматологических услуг в частности, с одной стороны, и наличием пробелов в регламентации взаимоотношений ЛПУ, оказывающих стоматологические услуги, и пациентов с другой стороны: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>ЛПУ, оказывающие стоматологические услуги, являются изготовителями (исполнителями), и, одновременно, продавцами стоматологических услуг, а пациенты – потребителя-ми (покупателями) этих услуг. Существование указанных отношений становится очевидным при изготовлении зубных протезов, пломб т.к. они являются овеществленным выражением стоматологических услуг.     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>Лечебно-профилактические учреждения, как продавцы и изготовители (исполнители) стоматологических услуг, несут ответственность в соответствии с Законом РФ «О защите прав потребителей» за их качество, в том числе за материалы. В связи с этим возникает необходимость в установлении сроков гарантии и сроков службы при оказании стоматологических услуг. До настоящего времени эти понятия не введены в отрасль здравоохранения в целом и в стоматологию, в частности. Между тем, в силу положений Закона РФ «О защите прав потребителей», Правил предоставления платных медицинских услуг населению медицинскими учреждениями (утв. Постановлением Правительства РФ от 13.01.96 г. № 27) пациент, являющийся потребителем услуг, в случае обнаружения в выполненных услугах недостатков, имеет право предъявить требования по устранению недостатков и возмещению убытков. Данные требования могут быть предъявлены пациентом в течении гарантийного срока, по существенным недостаткам – в течении срока службы.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 xml:space="preserve">Отсутствие установленных изготовителем (исполнителем) гарантийных сроков службы не уменьшает степени ответственности изготовителя (исполнителя) за ненадлежащее качество услуг, 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lastRenderedPageBreak/>
        <w:t>т.к. в соответствии с Законом РФ «О защите прав потребителей» если гарантийный срок не установлен потребитель вправе предъявлять требования, связанные с недостатками выполненной работы (оказанной услуги), в разумный срок, в пределах двух лет со дня принятия выполненной работы (оказанной услуги) (п.3 ст.29 Закона РФ «О защите прав потребителей), в случае выявления существенных недостатков – в течение 10 лет (п.6 ст.29 Закона РФ «О защите прав потребителей»).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4. Гарантийный срок – это период, в течение которого в случае обнаружения недостатка в выполненной работе, пациент вправе по своему выбору потребовать: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- безвозмездного устранения недостатков в выполненной работы (оказанной услуги);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- соответствующего уменьшения цены выполненной работы (оказанной услуги);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 xml:space="preserve">- 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</w:t>
      </w:r>
      <w:proofErr w:type="gramStart"/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вещь;   </w:t>
      </w:r>
      <w:proofErr w:type="gramEnd"/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      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>- возмещения понесенных им расходов по устранению недостатков выполненной работы (оказанной услуги) своими силами или третьими лицами.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>Недостаток – это несоответствие оказанной стоматологической услуги обязательным медицинским требованиям и технологиям.   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>- Гарантийный срок (Приложение 1;2) исчисляется с момента передачи результата работы пациенту, т.е. с момента оказания услуги.       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 xml:space="preserve">5. Срок службы товара исчисляется со дня его изготовления и определяется </w:t>
      </w:r>
      <w:proofErr w:type="spellStart"/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периодомвремени</w:t>
      </w:r>
      <w:proofErr w:type="spellEnd"/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, в течение которого товар (услуга) пригоден к использованию.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 xml:space="preserve">На протяжении установленных сроков службы (Приложение 1;2) стоматологическое учреждение несет ответственность за существенные недостатки, возникшие по вине исполнителя. Существенный недостаток </w:t>
      </w:r>
      <w:proofErr w:type="gramStart"/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- это</w:t>
      </w:r>
      <w:proofErr w:type="gramEnd"/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 xml:space="preserve"> недостаток, который делает невозможным или недоступным использование результата работы в соответствии с его целевым назначением, либо который не может быть устранен, либо на устранение которого требуется большие затраты (например: полный перелом протеза или выпадение пломбы).        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>В случае выявления существенных недостатков в выполненной работе, допущенных по вине исполнителя, пациент вправе предъявить исполнителю требование о безвозмездном устранении недостатков по истечении установленного гарантийного срока, в пределах срока службы. Если срок службы не установлен, то в течение 10 лет со дня принятия выполненной работы. Указанные требования должны быть устранены исполнителем в течение 20 дней со дня предъявления требования пациентом, если более короткий срок не установлен договором.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 xml:space="preserve">Если данное требование не удовлетворено в установленный срок, пациент по своему выбору вправе </w:t>
      </w:r>
      <w:proofErr w:type="gramStart"/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потребовать:   </w:t>
      </w:r>
      <w:proofErr w:type="gramEnd"/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 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>- соответственного уменьшения цены за выполненную работу,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>- возмещения понесенных им расходов по устранению недостатков выполненной работы своими силами или третьими лицами,         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>- расторжение договора о выполнении работы и возмещении убытков.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 xml:space="preserve">6. В соответствии с действующим законодательством исполнитель </w:t>
      </w:r>
      <w:proofErr w:type="gramStart"/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( в</w:t>
      </w:r>
      <w:proofErr w:type="gramEnd"/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 xml:space="preserve"> лице медицинских учреждений, оказывающих стоматологические услуги) обязан: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- в течение установленного гарантийного срока, устранять все недостатки, обнаруженные пациентом,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>- в течение установленного срока службы – устранять только существенные недостатки.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7. В соответствии со ст. 10 Закона «О защите прав потребителей» исполнитель доводит до сведения пациента указанные сроки службы и сроки гарантии (в виде информации на стенде, либо в виде записи в медицинской амбулаторной карте, либо в договоре). В противном случае срок службы и срок гарантии считается не установленным и равняется 10 годам.        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 xml:space="preserve">Также исполнитель рекомендует пациенту проведение необходимых мероприятий по уходу за состоянием полости рта (периодичность профилактических осмотров, проведение гигиенических мероприятий, уход за протезами, постоянное наблюдение за имплантатами и т. д. в соответствии с установленными стандартами). Гарантия утрачивается в случаях: попытки пациента самостоятельно вмешаться в процесс лечения и протезирования без согласования с лечащим врачом; неявки пациента в срок, указанный врачом; несоблюдение врачебных рекомендаций и 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lastRenderedPageBreak/>
        <w:t>назначений.         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>В случае несоблюдения пациентом указанных требований (при условии информированности о них пациента), последний лишается права ссылаться на недостатки (дефекты) в работе, возникшие в результате несоблюдения указанных требований.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>8. Стоматологические услуги, не указанные в приложении №1;2, не имеют установленных сроков службы в связи с тем, что их оказание связано с большой степенью риска возникновения осложнений после проведенного лечения. Возникающие в результате лечения этих заболеваний осложнения лечатся в общем порядке, на возмездной основе.       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>9. Руководителям медицинских учреждений рекомендуется установить для своего учреждения срок службы и гарантийный срок на работу при оказании стоматологической помощи. При этом, учреждения имеют право изменять гарантийные сроки и сроки службы, но только в сторону увеличения. Принятые ими сроки не могут быть ниже установленных в Приложении №1;2 настоящего Положения.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>10. При оказании стоматологической помощи по добровольному медицинскому страхованию предусмотреть, что в случае установления страховой компанией гарантийных сроков выше, чем в соответствующем стоматологическом учреждении, дефекты, возникшие по истечении гарантийных сроков, установленных последним, устраняются за счет средств страховой компании.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>11. Данное Положение рекомендуется к применению всеми медицинскими учреждениями, оказывающими стоматологические услуги, независимо от ведомственной подчиненности и формы собственности.</w:t>
      </w: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br/>
        <w:t>12. Настоящее Положение действует в течение всего периода времени, пока не будут приняты соответствующие нормативные акты на федеральном или областном уровне, регулирующие взаимоотношения пациентов и учреждений, оказывающих стоматологические услуги.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Приложения: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- №1 Гарантийные сроки службы при оказании стоматологической терапевтической помощи.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- №2 Гарантийные сроки службы при оказании стоматологической ортопедической помощи.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 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 </w:t>
      </w:r>
    </w:p>
    <w:p w:rsidR="006C6F2F" w:rsidRPr="006C6F2F" w:rsidRDefault="006C6F2F" w:rsidP="006C6F2F">
      <w:pPr>
        <w:spacing w:after="312"/>
        <w:ind w:left="720"/>
        <w:jc w:val="right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Приложение№1</w:t>
      </w:r>
    </w:p>
    <w:tbl>
      <w:tblPr>
        <w:tblW w:w="10065" w:type="dxa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5"/>
        <w:gridCol w:w="1752"/>
        <w:gridCol w:w="1608"/>
      </w:tblGrid>
      <w:tr w:rsidR="006C6F2F" w:rsidRPr="006C6F2F" w:rsidTr="006C6F2F">
        <w:trPr>
          <w:tblCellSpacing w:w="30" w:type="dxa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 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 Срок гарантии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 Срок службы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Пломба из </w:t>
            </w:r>
            <w:proofErr w:type="spellStart"/>
            <w:proofErr w:type="gram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хим.композита</w:t>
            </w:r>
            <w:proofErr w:type="spellEnd"/>
            <w:proofErr w:type="gram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(жидкость-порошок), 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стеклоиономерного</w:t>
            </w:r>
            <w:proofErr w:type="spell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цемента I-V класс по Блэку (I, II, III, IV, 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6 месяцев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9 месяцев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Пломба с 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парапульпарными</w:t>
            </w:r>
            <w:proofErr w:type="spell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внутрикорневыми</w:t>
            </w:r>
            <w:proofErr w:type="spell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штифтами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6 месяцев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Пломба из </w:t>
            </w:r>
            <w:proofErr w:type="spellStart"/>
            <w:proofErr w:type="gram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хим.композита</w:t>
            </w:r>
            <w:proofErr w:type="spellEnd"/>
            <w:proofErr w:type="gram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(паста-паста) I, II, III, IV, V класс по Блэку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 месяцев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год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Пломба с 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парапульпарными</w:t>
            </w:r>
            <w:proofErr w:type="spell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внутрикорневыми</w:t>
            </w:r>
            <w:proofErr w:type="spell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штифтами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 месяцев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1.5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Пломба из композита светового отверждения, 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стеклоиономерного</w:t>
            </w:r>
            <w:proofErr w:type="spell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цемента I класс по Блэку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 Пломба из композита светового отверждения, 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стеклоиономерного</w:t>
            </w:r>
            <w:proofErr w:type="spell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цемента II, III, IV, V класс по Блэку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9 месяцев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1,5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Пломба с 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парапульпарными</w:t>
            </w:r>
            <w:proofErr w:type="spell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штифтами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1,5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Виниры</w:t>
            </w:r>
            <w:proofErr w:type="spell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косметическая реставрация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 9месяцев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1,5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Вкладки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Пломба из цемента (силикатного, 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силикофосфатного</w:t>
            </w:r>
            <w:proofErr w:type="spell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 I, V класс по Блэку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1,5 месяца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3 месяца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Пломба из цемента (силикатного, 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силикофосфатного</w:t>
            </w:r>
            <w:proofErr w:type="spell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 II класс по Блэку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0,5 месяца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месяц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Пломба из цемента (силикатного, 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силикофосфатного</w:t>
            </w:r>
            <w:proofErr w:type="spell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 III по Блэку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1,5 месяца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месяц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Пломба из цемента (силикатного, 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силикофосфатного</w:t>
            </w:r>
            <w:proofErr w:type="spell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 IV класс по Блэку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Нет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Пломбы из пластмассы (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акрилоксид</w:t>
            </w:r>
            <w:proofErr w:type="spell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карбодент</w:t>
            </w:r>
            <w:proofErr w:type="spell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 I, III, IV, V класс по Блэку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3 месяца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6 месяцев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Пломбы из пластмассы (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акрилоксид</w:t>
            </w:r>
            <w:proofErr w:type="spell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карбодентII</w:t>
            </w:r>
            <w:proofErr w:type="spell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класс по Блэку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1,5 месяца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3 месяца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Пломба металлосодержащая I, III, IV, V класс по Блэку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Пломба металлосодержащая II класс по Блэку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9 месяцев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1.5 года</w:t>
            </w:r>
          </w:p>
        </w:tc>
      </w:tr>
    </w:tbl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Данные сроки   рекомендованы для пациентов с единичным кариесом и множественным стабилизированным или медленно текущем процессом – у взрослых, компенсированной степенью активности кариеса у детей.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При КПУ зубов 13-18 – сроки снижаются на 30%.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При КПУ&gt;18 – сроки снижаются на 50%.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 При неудовлетворительной гигиене полости рта – сроки уменьшаются на 70%.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 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 </w:t>
      </w:r>
    </w:p>
    <w:p w:rsidR="006C6F2F" w:rsidRPr="006C6F2F" w:rsidRDefault="006C6F2F" w:rsidP="006C6F2F">
      <w:pPr>
        <w:spacing w:after="312"/>
        <w:ind w:left="720"/>
        <w:jc w:val="right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Приложение№2</w:t>
      </w:r>
    </w:p>
    <w:tbl>
      <w:tblPr>
        <w:tblW w:w="10080" w:type="dxa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1434"/>
        <w:gridCol w:w="1461"/>
      </w:tblGrid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 </w:t>
            </w:r>
            <w:r w:rsidRPr="006C6F2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6C6F2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Срок гарантии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6C6F2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Срок службы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 Вкладки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Из металла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Из металлокерамики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Из фарфора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Из пластмассы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6 месяцев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Культевые вкладки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Виниры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9 месяцев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1,5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 Коронки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Из пластмассы (за исключением временных)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9 месяцев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Из металлокерамики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Из фарфора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1,5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Из композиционного материала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9 месяцев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1,5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Штампованные коронки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Из стали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Из серебряно-палладиевого сплава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Из золота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1,5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6C6F2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Штампованные коронки с пластмассовой облицовкой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Из стали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6 месяцев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Из серебряно-палладиевого сплава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6 месяцев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Из золота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6 месяцев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 Коронки цельнолитые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 Из КХС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Из серебряно- палладиевого сплава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Из золота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Коронки цельнолитые с облицовкой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6 месяцев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Адгезивные протезы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6C6F2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ru-RU"/>
                <w14:ligatures w14:val="none"/>
              </w:rPr>
              <w:t>Мостовидные протезы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6C6F2F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Паянные и</w:t>
            </w: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 стали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6C6F2F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Паянные и</w:t>
            </w: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 серебряно-палладиевого сплава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Pr="006C6F2F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Паянные </w:t>
            </w: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 золота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 Цельнолитые</w:t>
            </w: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из КХС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 Цельнолитые </w:t>
            </w: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 серебряно-палладиевого сплава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 Цельнолитые </w:t>
            </w: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 золота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i/>
                <w:iCs/>
                <w:kern w:val="0"/>
                <w:bdr w:val="none" w:sz="0" w:space="0" w:color="auto" w:frame="1"/>
                <w:lang w:eastAsia="ru-RU"/>
                <w14:ligatures w14:val="none"/>
              </w:rPr>
              <w:t> Цельнолитые с облицовкой </w:t>
            </w: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 пластмассы из композиционного материала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6 месяцев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Мостовидные протезы из металлокерамики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proofErr w:type="spellStart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Бюгельные</w:t>
            </w:r>
            <w:proofErr w:type="spellEnd"/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протезы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2 года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Частичные съемные пластиночные протезы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Полные съемные пластиночные протезы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1 год</w:t>
            </w:r>
          </w:p>
        </w:tc>
      </w:tr>
      <w:tr w:rsidR="006C6F2F" w:rsidRPr="006C6F2F" w:rsidTr="006C6F2F">
        <w:trPr>
          <w:tblCellSpacing w:w="30" w:type="dxa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Напыление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3 месяца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F2F" w:rsidRPr="006C6F2F" w:rsidRDefault="006C6F2F" w:rsidP="006C6F2F">
            <w:pPr>
              <w:spacing w:after="31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6F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6 месяцев</w:t>
            </w:r>
          </w:p>
        </w:tc>
      </w:tr>
    </w:tbl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ПРИМЕЧАНИЕ: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1. Сроки гарантии распространяются только на изделия.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2. При неудовлетворительной гигиене полости рта сроки гарантии и службы на все виды протезирования уменьшаются на 50%.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t>3. При нарушении графиков профилактических осмотров, предусмотренных планом лечения, гарантия аннулируется.</w:t>
      </w:r>
    </w:p>
    <w:p w:rsidR="006C6F2F" w:rsidRPr="006C6F2F" w:rsidRDefault="006C6F2F" w:rsidP="006C6F2F">
      <w:pPr>
        <w:spacing w:after="312"/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</w:pPr>
      <w:r w:rsidRPr="006C6F2F">
        <w:rPr>
          <w:rFonts w:ascii="Arial" w:eastAsia="Times New Roman" w:hAnsi="Arial" w:cs="Arial"/>
          <w:color w:val="626365"/>
          <w:kern w:val="0"/>
          <w:sz w:val="20"/>
          <w:szCs w:val="20"/>
          <w:lang w:eastAsia="ru-RU"/>
          <w14:ligatures w14:val="none"/>
        </w:rPr>
        <w:lastRenderedPageBreak/>
        <w:t>4. При протезировании на имплантаты сроки гарантии и службы определяются в соответствии с конструкцией протеза.</w:t>
      </w:r>
    </w:p>
    <w:sectPr w:rsidR="006C6F2F" w:rsidRPr="006C6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2F"/>
    <w:rsid w:val="006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E4FC62"/>
  <w15:chartTrackingRefBased/>
  <w15:docId w15:val="{842C1B9A-6D94-384D-8E03-4643E1DC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6F2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F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6C6F2F"/>
    <w:rPr>
      <w:color w:val="0000FF"/>
      <w:u w:val="single"/>
    </w:rPr>
  </w:style>
  <w:style w:type="character" w:styleId="a4">
    <w:name w:val="Emphasis"/>
    <w:basedOn w:val="a0"/>
    <w:uiPriority w:val="20"/>
    <w:qFormat/>
    <w:rsid w:val="006C6F2F"/>
    <w:rPr>
      <w:i/>
      <w:iCs/>
    </w:rPr>
  </w:style>
  <w:style w:type="paragraph" w:styleId="a5">
    <w:name w:val="Normal (Web)"/>
    <w:basedOn w:val="a"/>
    <w:uiPriority w:val="99"/>
    <w:semiHidden/>
    <w:unhideWhenUsed/>
    <w:rsid w:val="006C6F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6">
    <w:name w:val="Strong"/>
    <w:basedOn w:val="a0"/>
    <w:uiPriority w:val="22"/>
    <w:qFormat/>
    <w:rsid w:val="006C6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3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5" w:color="666666"/>
            <w:right w:val="none" w:sz="0" w:space="0" w:color="auto"/>
          </w:divBdr>
        </w:div>
        <w:div w:id="8099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650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28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5073">
          <w:marLeft w:val="0"/>
          <w:marRight w:val="0"/>
          <w:marTop w:val="480"/>
          <w:marBottom w:val="0"/>
          <w:divBdr>
            <w:top w:val="single" w:sz="6" w:space="12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1909</Words>
  <Characters>10885</Characters>
  <Application>Microsoft Office Word</Application>
  <DocSecurity>0</DocSecurity>
  <Lines>90</Lines>
  <Paragraphs>25</Paragraphs>
  <ScaleCrop>false</ScaleCrop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2023-09-04T11:07:00Z</dcterms:created>
  <dcterms:modified xsi:type="dcterms:W3CDTF">2023-09-04T11:10:00Z</dcterms:modified>
</cp:coreProperties>
</file>